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B69" w:rsidRPr="005B0982" w:rsidRDefault="00A01B69" w:rsidP="00A01B69">
      <w:pPr>
        <w:pStyle w:val="EndNoteBibliography"/>
        <w:rPr>
          <w:rFonts w:asciiTheme="majorBidi" w:hAnsiTheme="majorBidi" w:cstheme="majorBidi"/>
          <w:sz w:val="24"/>
          <w:szCs w:val="24"/>
        </w:rPr>
      </w:pPr>
      <w:r w:rsidRPr="005B0982">
        <w:rPr>
          <w:rFonts w:asciiTheme="majorBidi" w:hAnsiTheme="majorBidi" w:cstheme="majorBidi"/>
          <w:sz w:val="24"/>
          <w:szCs w:val="24"/>
        </w:rPr>
        <w:t xml:space="preserve">Appindix </w:t>
      </w:r>
      <w:r>
        <w:rPr>
          <w:rFonts w:asciiTheme="majorBidi" w:hAnsiTheme="majorBidi" w:cstheme="majorBidi"/>
          <w:sz w:val="24"/>
          <w:szCs w:val="24"/>
        </w:rPr>
        <w:t xml:space="preserve"> A: </w:t>
      </w:r>
      <w:r w:rsidRPr="005B0982">
        <w:rPr>
          <w:rFonts w:asciiTheme="majorBidi" w:hAnsiTheme="majorBidi" w:cstheme="majorBidi"/>
          <w:sz w:val="24"/>
          <w:szCs w:val="24"/>
        </w:rPr>
        <w:t>Chronological and Bibliographic Sources Supporting the Integrated Timeline (Figure 2)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B0982">
        <w:rPr>
          <w:rFonts w:asciiTheme="majorBidi" w:hAnsiTheme="majorBidi" w:cstheme="majorBidi"/>
          <w:sz w:val="24"/>
          <w:szCs w:val="24"/>
        </w:rPr>
        <w:t>(Detailed references for climatic events, cultural periods, archaeological sites, and dynastic successions as (Detailed references for climatic events, cultural periods, archaeological sites, and dynastic successions as presented in the spatio-temporal reconstruction of Paleo Mega Lake of Rey)</w:t>
      </w:r>
    </w:p>
    <w:tbl>
      <w:tblPr>
        <w:tblStyle w:val="GridTable4"/>
        <w:tblW w:w="9130" w:type="dxa"/>
        <w:jc w:val="center"/>
        <w:tblLook w:val="04A0" w:firstRow="1" w:lastRow="0" w:firstColumn="1" w:lastColumn="0" w:noHBand="0" w:noVBand="1"/>
      </w:tblPr>
      <w:tblGrid>
        <w:gridCol w:w="3666"/>
        <w:gridCol w:w="960"/>
        <w:gridCol w:w="960"/>
        <w:gridCol w:w="3544"/>
      </w:tblGrid>
      <w:tr w:rsidR="00A01B69" w:rsidRPr="005B0982" w:rsidTr="00F64D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sz w:val="24"/>
                <w:szCs w:val="24"/>
              </w:rPr>
              <w:t>Climate Event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 w:val="0"/>
                <w:bCs w:val="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sz w:val="24"/>
                <w:szCs w:val="24"/>
              </w:rPr>
              <w:t>Start (ka)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 w:val="0"/>
                <w:bCs w:val="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sz w:val="24"/>
                <w:szCs w:val="24"/>
              </w:rPr>
              <w:t>End (ka)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 w:val="0"/>
                <w:bCs w:val="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b w:val="0"/>
                <w:bCs w:val="0"/>
                <w:sz w:val="24"/>
                <w:szCs w:val="24"/>
              </w:rPr>
              <w:t>Reference</w:t>
            </w:r>
          </w:p>
        </w:tc>
      </w:tr>
      <w:tr w:rsidR="00A01B69" w:rsidRPr="005B0982" w:rsidTr="00F64D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Early Holocene Humid Phase (Wet)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11.7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&lt;EndNote&gt;&lt;Cite&gt;&lt;Author&gt;Geyh&lt;/Author&gt;&lt;Year&gt;1999&lt;/Year&gt;&lt;RecNum&gt;1333&lt;/RecNum&gt;&lt;DisplayText&gt;(Geyh et al., 1999; Weiss and Bradley, 2001)&lt;/DisplayText&gt;&lt;record&gt;&lt;rec-number&gt;1333&lt;/rec-number&gt;&lt;foreign-keys&gt;&lt;key app="EN" db-id="xtearvdtyzzdz0eatz6v92d2dx2rfdwvta0w" timestamp="1754315932"&gt;1333&lt;/key&gt;&lt;/foreign-keys&gt;&lt;ref-type name="Journal Article"&gt;17&lt;/ref-type&gt;&lt;contributors&gt;&lt;authors&gt;&lt;author&gt;Geyh, Mebus A&lt;/author&gt;&lt;author&gt;Grosjean, Martin&lt;/author&gt;&lt;author&gt;Núnez, Lautaro&lt;/author&gt;&lt;author&gt;Schotterer, Ulrich&lt;/author&gt;&lt;/authors&gt;&lt;/contributors&gt;&lt;titles&gt;&lt;title&gt;Radiocarbon Reservoir Effect and the Timing of the Late-Glacial/Early Holocene Humid Phase in the Atacama Desert (Northern Chile)&lt;/title&gt;&lt;secondary-title&gt;Quaternary Research&lt;/secondary-title&gt;&lt;/titles&gt;&lt;periodical&gt;&lt;full-title&gt;Quaternary Research&lt;/full-title&gt;&lt;/periodical&gt;&lt;pages&gt;143-153&lt;/pages&gt;&lt;volume&gt;52&lt;/volume&gt;&lt;dates&gt;&lt;year&gt;1999&lt;/year&gt;&lt;/dates&gt;&lt;urls&gt;&lt;/urls&gt;&lt;/record&gt;&lt;/Cite&gt;&lt;Cite&gt;&lt;Author&gt;Weiss&lt;/Author&gt;&lt;Year&gt;2001&lt;/Year&gt;&lt;RecNum&gt;1336&lt;/RecNum&gt;&lt;record&gt;&lt;rec-number&gt;1336&lt;/rec-number&gt;&lt;foreign-keys&gt;&lt;key app="EN" db-id="xtearvdtyzzdz0eatz6v92d2dx2rfdwvta0w" timestamp="1754316062"&gt;1336&lt;/key&gt;&lt;/foreign-keys&gt;&lt;ref-type name="Journal Article"&gt;17&lt;/ref-type&gt;&lt;contributors&gt;&lt;authors&gt;&lt;author&gt;Weiss, Harvey&lt;/author&gt;&lt;author&gt;Bradley, Raymond S&lt;/author&gt;&lt;/authors&gt;&lt;/contributors&gt;&lt;titles&gt;&lt;title&gt;What drives societal collapse?&lt;/title&gt;&lt;secondary-title&gt;Science&lt;/secondary-title&gt;&lt;/titles&gt;&lt;periodical&gt;&lt;full-title&gt;Science&lt;/full-title&gt;&lt;/periodical&gt;&lt;pages&gt;609-610&lt;/pages&gt;&lt;volume&gt;291&lt;/volume&gt;&lt;number&gt;5504&lt;/number&gt;&lt;dates&gt;&lt;year&gt;2001&lt;/year&gt;&lt;/dates&gt;&lt;isbn&gt;0036-8075&lt;/isbn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(Geyh et al., 1999; Weiss and Bradley, 2001)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8.2 Kiloyear Event (Dry)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&lt;EndNote&gt;&lt;Cite&gt;&lt;Author&gt;Rohling&lt;/Author&gt;&lt;Year&gt;2002&lt;/Year&gt;&lt;RecNum&gt;1334&lt;/RecNum&gt;&lt;DisplayText&gt;(Rohling et al., 2002)&lt;/DisplayText&gt;&lt;record&gt;&lt;rec-number&gt;1334&lt;/rec-number&gt;&lt;foreign-keys&gt;&lt;key app="EN" db-id="xtearvdtyzzdz0eatz6v92d2dx2rfdwvta0w" timestamp="1754315973"&gt;1334&lt;/key&gt;&lt;/foreign-keys&gt;&lt;ref-type name="Journal Article"&gt;17&lt;/ref-type&gt;&lt;contributors&gt;&lt;authors&gt;&lt;author&gt;Rohling, Eelco&lt;/author&gt;&lt;author&gt;Mayewski, Paul&lt;/author&gt;&lt;author&gt;Abu-Zied, R&lt;/author&gt;&lt;author&gt;Casford, JSL&lt;/author&gt;&lt;author&gt;Hayes, A&lt;/author&gt;&lt;/authors&gt;&lt;/contributors&gt;&lt;titles&gt;&lt;title&gt;Holocene atmosphere-ocean interactions: records from Greenland and the Aegean Sea&lt;/title&gt;&lt;secondary-title&gt;Climate Dynamics&lt;/secondary-title&gt;&lt;/titles&gt;&lt;periodical&gt;&lt;full-title&gt;Climate Dynamics&lt;/full-title&gt;&lt;/periodical&gt;&lt;pages&gt;587-593&lt;/pages&gt;&lt;volume&gt;18&lt;/volume&gt;&lt;number&gt;7&lt;/number&gt;&lt;dates&gt;&lt;year&gt;2002&lt;/year&gt;&lt;/dates&gt;&lt;isbn&gt;0930-7575&lt;/isbn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(Rohling et al., 2002)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Middle Holocene Humid Optimum (Wet)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&lt;EndNote&gt;&lt;Cite&gt;&lt;Author&gt;Claussen&lt;/Author&gt;&lt;Year&gt;1999&lt;/Year&gt;&lt;RecNum&gt;1335&lt;/RecNum&gt;&lt;DisplayText&gt;(Claussen et al., 1999)&lt;/DisplayText&gt;&lt;record&gt;&lt;rec-number&gt;1335&lt;/rec-number&gt;&lt;foreign-keys&gt;&lt;key app="EN" db-id="xtearvdtyzzdz0eatz6v92d2dx2rfdwvta0w" timestamp="1754316022"&gt;1335&lt;/key&gt;&lt;/foreign-keys&gt;&lt;ref-type name="Journal Article"&gt;17&lt;/ref-type&gt;&lt;contributors&gt;&lt;authors&gt;&lt;author&gt;Claussen, Martin&lt;/author&gt;&lt;author&gt;Kubatzki, Claudia&lt;/author&gt;&lt;author&gt;Brovkin, Victor&lt;/author&gt;&lt;author&gt;Ganopolski, Andrey&lt;/author&gt;&lt;author&gt;Hoelzmann, Philipp&lt;/author&gt;&lt;author&gt;Pachur, Hans</w:instrText>
            </w:r>
            <w:r w:rsidRPr="005B0982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instrText>‐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>Joachim&lt;/author&gt;&lt;/authors&gt;&lt;/contributors&gt;&lt;titles&gt;&lt;title&gt;Simulation of an abrupt change in Saharan vegetation in the mid</w:instrText>
            </w:r>
            <w:r w:rsidRPr="005B0982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instrText>‐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>Holocene&lt;/title&gt;&lt;secondary-title&gt;Geophysical research letters&lt;/secondary-title&gt;&lt;/titles&gt;&lt;periodical&gt;&lt;full-title&gt;Geophysical Research Letters&lt;/full-title&gt;&lt;/periodical&gt;&lt;pages&gt;2037-2040&lt;/pages&gt;&lt;volume&gt;26&lt;/volume&gt;&lt;number&gt;14&lt;/number&gt;&lt;dates&gt;&lt;year&gt;1999&lt;/year&gt;&lt;/dates&gt;&lt;isbn&gt;0094-8276&lt;/isbn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(Claussen et al., 1999)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4.2 Kiloyear Event (Dry)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&lt;EndNote&gt;&lt;Cite&gt;&lt;Author&gt;Weiss&lt;/Author&gt;&lt;Year&gt;2001&lt;/Year&gt;&lt;RecNum&gt;1336&lt;/RecNum&gt;&lt;DisplayText&gt;(Weiss and Bradley, 2001)&lt;/DisplayText&gt;&lt;record&gt;&lt;rec-number&gt;1336&lt;/rec-number&gt;&lt;foreign-keys&gt;&lt;key app="EN" db-id="xtearvdtyzzdz0eatz6v92d2dx2rfdwvta0w" timestamp="1754316062"&gt;1336&lt;/key&gt;&lt;/foreign-keys&gt;&lt;ref-type name="Journal Article"&gt;17&lt;/ref-type&gt;&lt;contributors&gt;&lt;authors&gt;&lt;author&gt;Weiss, Harvey&lt;/author&gt;&lt;author&gt;Bradley, Raymond S&lt;/author&gt;&lt;/authors&gt;&lt;/contributors&gt;&lt;titles&gt;&lt;title&gt;What drives societal collapse?&lt;/title&gt;&lt;secondary-title&gt;Science&lt;/secondary-title&gt;&lt;/titles&gt;&lt;periodical&gt;&lt;full-title&gt;Science&lt;/full-title&gt;&lt;/periodical&gt;&lt;pages&gt;609-610&lt;/pages&gt;&lt;volume&gt;291&lt;/volume&gt;&lt;number&gt;5504&lt;/number&gt;&lt;dates&gt;&lt;year&gt;2001&lt;/year&gt;&lt;/dates&gt;&lt;isbn&gt;0036-8075&lt;/isbn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(Weiss and Bradley, 2001)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Late Holocene Humid Interval (Wet)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&lt;EndNote&gt;&lt;Cite&gt;&lt;Author&gt;Marchant&lt;/Author&gt;&lt;Year&gt;2004&lt;/Year&gt;&lt;RecNum&gt;1337&lt;/RecNum&gt;&lt;DisplayText&gt;(Marchant and Hooghiemstra, 2004)&lt;/DisplayText&gt;&lt;record&gt;&lt;rec-number&gt;1337&lt;/rec-number&gt;&lt;foreign-keys&gt;&lt;key app="EN" db-id="xtearvdtyzzdz0eatz6v92d2dx2rfdwvta0w" timestamp="1754316126"&gt;1337&lt;/key&gt;&lt;/foreign-keys&gt;&lt;ref-type name="Journal Article"&gt;17&lt;/ref-type&gt;&lt;contributors&gt;&lt;authors&gt;&lt;author&gt;Marchant, Robert&lt;/author&gt;&lt;author&gt;Hooghiemstra, Henry&lt;/author&gt;&lt;/authors&gt;&lt;/contributors&gt;&lt;titles&gt;&lt;title&gt;Rapid environmental change in African and South American tropics around 4000 years before present: a review&lt;/title&gt;&lt;secondary-title&gt;Earth-Science Reviews&lt;/secondary-title&gt;&lt;/titles&gt;&lt;periodical&gt;&lt;full-title&gt;Earth-Science Reviews&lt;/full-title&gt;&lt;/periodical&gt;&lt;pages&gt;217-260&lt;/pages&gt;&lt;volume&gt;66&lt;/volume&gt;&lt;number&gt;3-4&lt;/number&gt;&lt;dates&gt;&lt;year&gt;2004&lt;/year&gt;&lt;/dates&gt;&lt;isbn&gt;0012-8252&lt;/isbn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(Marchant and Hooghiemstra, 2004)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2.8 Kiloyear Event (Dry)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&lt;EndNote&gt;&lt;Cite&gt;&lt;Author&gt;Staubwasser&lt;/Author&gt;&lt;Year&gt;2003&lt;/Year&gt;&lt;RecNum&gt;1338&lt;/RecNum&gt;&lt;DisplayText&gt;(Staubwasser et al., 2003)&lt;/DisplayText&gt;&lt;record&gt;&lt;rec-number&gt;1338&lt;/rec-number&gt;&lt;foreign-keys&gt;&lt;key app="EN" db-id="xtearvdtyzzdz0eatz6v92d2dx2rfdwvta0w" timestamp="1754316161"&gt;1338&lt;/key&gt;&lt;/foreign-keys&gt;&lt;ref-type name="Journal Article"&gt;17&lt;/ref-type&gt;&lt;contributors&gt;&lt;authors&gt;&lt;author&gt;Staubwasser, Michael&lt;/author&gt;&lt;author&gt;Sirocko, Frank&lt;/author&gt;&lt;author&gt;Grootes, Pieter M&lt;/author&gt;&lt;author&gt;Segl, M&lt;/author&gt;&lt;/authors&gt;&lt;/contributors&gt;&lt;titles&gt;&lt;title&gt;Climate change at the 4.2 ka BP termination of the Indus valley civilization and Holocene south Asian monsoon variability&lt;/title&gt;&lt;secondary-title&gt;Geophysical Research Letters&lt;/secondary-title&gt;&lt;/titles&gt;&lt;periodical&gt;&lt;full-title&gt;Geophysical Research Letters&lt;/full-title&gt;&lt;/periodical&gt;&lt;volume&gt;30&lt;/volume&gt;&lt;number&gt;8&lt;/number&gt;&lt;dates&gt;&lt;year&gt;2003&lt;/year&gt;&lt;/dates&gt;&lt;isbn&gt;0094-8276&lt;/isbn&gt;&lt;urls&gt;&lt;/urls&gt;&lt;/record&gt;&lt;/Cite&gt;&lt;/EndNote&gt;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(Staubwasser et al., 2003)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Roman Warm Period (Wet)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&lt;EndNote&gt;&lt;Cite&gt;&lt;Author&gt;McCormick&lt;/Author&gt;&lt;Year&gt;2012&lt;/Year&gt;&lt;RecNum&gt;1339&lt;/RecNum&gt;&lt;DisplayText&gt;(McCormick et al., 2012)&lt;/DisplayText&gt;&lt;record&gt;&lt;rec-number&gt;1339&lt;/rec-number&gt;&lt;foreign-keys&gt;&lt;key app="EN" db-id="xtearvdtyzzdz0eatz6v92d2dx2rfdwvta0w" timestamp="1754316195"&gt;1339&lt;/key&gt;&lt;/foreign-keys&gt;&lt;ref-type name="Journal Article"&gt;17&lt;/ref-type&gt;&lt;contributors&gt;&lt;authors&gt;&lt;author&gt;McCormick, Michael&lt;/author&gt;&lt;author&gt;Büntgen, Ulf&lt;/author&gt;&lt;author&gt;Cane, Mark A&lt;/author&gt;&lt;author&gt;Cook, Edward R&lt;/author&gt;&lt;author&gt;Harper, Kyle&lt;/author&gt;&lt;author&gt;Huybers, Peter&lt;/author&gt;&lt;author&gt;Litt, Thomas&lt;/author&gt;&lt;author&gt;Manning, Sturt W&lt;/author&gt;&lt;author&gt;Mayewski, Paul Andrew&lt;/author&gt;&lt;author&gt;More, Alexander FM&lt;/author&gt;&lt;/authors&gt;&lt;/contributors&gt;&lt;titles&gt;&lt;title&gt;Climate change during and after the Roman Empire: reconstructing the past from scientific and historical evidence&lt;/title&gt;&lt;secondary-title&gt;Journal of Interdisciplinary History&lt;/secondary-title&gt;&lt;/titles&gt;&lt;periodical&gt;&lt;full-title&gt;Journal of Interdisciplinary History&lt;/full-title&gt;&lt;/periodical&gt;&lt;pages&gt;169-220&lt;/pages&gt;&lt;volume&gt;43&lt;/volume&gt;&lt;number&gt;2&lt;/number&gt;&lt;dates&gt;&lt;year&gt;2012&lt;/year&gt;&lt;/dates&gt;&lt;isbn&gt;0022-1953&lt;/isbn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(McCormick et al., 2012)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Dark Ages Cold Period (Dry)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&lt;EndNote&gt;&lt;Cite&gt;&lt;Author&gt;Helama&lt;/Author&gt;&lt;Year&gt;2017&lt;/Year&gt;&lt;RecNum&gt;1340&lt;/RecNum&gt;&lt;DisplayText&gt;(Helama et al., 2017)&lt;/DisplayText&gt;&lt;record&gt;&lt;rec-number&gt;1340&lt;/rec-number&gt;&lt;foreign-keys&gt;&lt;key app="EN" db-id="xtearvdtyzzdz0eatz6v92d2dx2rfdwvta0w" timestamp="1754316257"&gt;1340&lt;/key&gt;&lt;/foreign-keys&gt;&lt;ref-type name="Journal Article"&gt;17&lt;/ref-type&gt;&lt;contributors&gt;&lt;authors&gt;&lt;author&gt;Helama, Samuli&lt;/author&gt;&lt;author&gt;Jones, Phil D&lt;/author&gt;&lt;author&gt;Briffa, Keith R&lt;/author&gt;&lt;/authors&gt;&lt;/contributors&gt;&lt;titles&gt;&lt;title&gt;Dark Ages Cold Period: A literature review and directions for future research&lt;/title&gt;&lt;secondary-title&gt;The Holocene&lt;/secondary-title&gt;&lt;/titles&gt;&lt;periodical&gt;&lt;full-title&gt;The Holocene&lt;/full-title&gt;&lt;/periodical&gt;&lt;pages&gt;1600-1606&lt;/pages&gt;&lt;volume&gt;27&lt;/volume&gt;&lt;number&gt;10&lt;/number&gt;&lt;dates&gt;&lt;year&gt;2017&lt;/year&gt;&lt;/dates&gt;&lt;isbn&gt;0959-6836&lt;/isbn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(Helama et al., 2017)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Medieval Warm Period (Wet)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&lt;EndNote&gt;&lt;Cite&gt;&lt;Author&gt;Mann&lt;/Author&gt;&lt;Year&gt;2009&lt;/Year&gt;&lt;RecNum&gt;1341&lt;/RecNum&gt;&lt;DisplayText&gt;(Mann et al., 2009)&lt;/DisplayText&gt;&lt;record&gt;&lt;rec-number&gt;1341&lt;/rec-number&gt;&lt;foreign-keys&gt;&lt;key app="EN" db-id="xtearvdtyzzdz0eatz6v92d2dx2rfdwvta0w" timestamp="1754316290"&gt;1341&lt;/key&gt;&lt;/foreign-keys&gt;&lt;ref-type name="Journal Article"&gt;17&lt;/ref-type&gt;&lt;contributors&gt;&lt;authors&gt;&lt;author&gt;Mann, Michael E&lt;/author&gt;&lt;author&gt;Zhang, Zhihua&lt;/author&gt;&lt;author&gt;Rutherford, Scott&lt;/author&gt;&lt;author&gt;Bradley, Raymond S&lt;/author&gt;&lt;author&gt;Hughes, Malcolm K&lt;/author&gt;&lt;author&gt;Shindell, Drew&lt;/author&gt;&lt;author&gt;Ammann, Caspar&lt;/author&gt;&lt;author&gt;Faluvegi, Greg&lt;/author&gt;&lt;author&gt;Ni, Fenbiao&lt;/author&gt;&lt;/authors&gt;&lt;/contributors&gt;&lt;titles&gt;&lt;title&gt;Global signatures and dynamical origins of the Little Ice Age and Medieval Climate Anomaly&lt;/title&gt;&lt;secondary-title&gt;science&lt;/secondary-title&gt;&lt;/titles&gt;&lt;periodical&gt;&lt;full-title&gt;Science&lt;/full-title&gt;&lt;/periodical&gt;&lt;pages&gt;1256-1260&lt;/pages&gt;&lt;volume&gt;326&lt;/volume&gt;&lt;number&gt;5957&lt;/number&gt;&lt;dates&gt;&lt;year&gt;2009&lt;/year&gt;&lt;/dates&gt;&lt;isbn&gt;0036-8075&lt;/isbn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(Mann et al., 2009)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Little Ice Age (Dry)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&lt;EndNote&gt;&lt;Cite&gt;&lt;Author&gt;Grove&lt;/Author&gt;&lt;Year&gt;2001&lt;/Year&gt;&lt;RecNum&gt;1342&lt;/RecNum&gt;&lt;DisplayText&gt;(Grove, 2001)&lt;/DisplayText&gt;&lt;record&gt;&lt;rec-number&gt;1342&lt;/rec-number&gt;&lt;foreign-keys&gt;&lt;key app="EN" db-id="xtearvdtyzzdz0eatz6v92d2dx2rfdwvta0w" timestamp="1754316339"&gt;1342&lt;/key&gt;&lt;/foreign-keys&gt;&lt;ref-type name="Journal Article"&gt;17&lt;/ref-type&gt;&lt;contributors&gt;&lt;authors&gt;&lt;author&gt;Grove, Jean M&lt;/author&gt;&lt;/authors&gt;&lt;/contributors&gt;&lt;titles&gt;&lt;title&gt;The initiation of the&amp;quot; Little Ice Age&amp;quot; in regions round the North Atlantic&lt;/title&gt;&lt;secondary-title&gt;Climatic change&lt;/secondary-title&gt;&lt;/titles&gt;&lt;periodical&gt;&lt;full-title&gt;Climatic change&lt;/full-title&gt;&lt;/periodical&gt;&lt;pages&gt;53-82&lt;/pages&gt;&lt;volume&gt;48&lt;/volume&gt;&lt;number&gt;1&lt;/number&gt;&lt;dates&gt;&lt;year&gt;2001&lt;/year&gt;&lt;/dates&gt;&lt;isbn&gt;0165-0009&lt;/isbn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(Grove, 2001)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Modern Warming (Wet)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&lt;EndNote&gt;&lt;Cite&gt;&lt;Author&gt;Masson-Delmotte&lt;/Author&gt;&lt;Year&gt;2021&lt;/Year&gt;&lt;RecNum&gt;1343&lt;/RecNum&gt;&lt;DisplayText&gt;(Masson-Delmotte et al., 2021)&lt;/DisplayText&gt;&lt;record&gt;&lt;rec-number&gt;1343&lt;/rec-number&gt;&lt;foreign-keys&gt;&lt;key app="EN" db-id="xtearvdtyzzdz0eatz6v92d2dx2rfdwvta0w" timestamp="1754316428"&gt;1343&lt;/key&gt;&lt;/foreign-keys&gt;&lt;ref-type name="Journal Article"&gt;17&lt;/ref-type&gt;&lt;contributors&gt;&lt;authors&gt;&lt;author&gt;Masson-Delmotte, Valérie&lt;/author&gt;&lt;author&gt;Zhai, Panmao&lt;/author&gt;&lt;author&gt;Pirani, Anna&lt;/author&gt;&lt;author&gt;Connors, Sarah L&lt;/author&gt;&lt;author&gt;Péan, Clotilde&lt;/author&gt;&lt;author&gt;Berger, Sophie&lt;/author&gt;&lt;author&gt;Caud, Nada&lt;/author&gt;&lt;author&gt;Chen, Y&lt;/author&gt;&lt;author&gt;Goldfarb, L&lt;/author&gt;&lt;author&gt;Gomis, MI&lt;/author&gt;&lt;/authors&gt;&lt;/contributors&gt;&lt;titles&gt;&lt;title&gt;Climate change 2021: the physical science basis&lt;/title&gt;&lt;secondary-title&gt;Contribution of working group I to the sixth assessment report of the intergovernmental panel on climate change&lt;/secondary-title&gt;&lt;/titles&gt;&lt;periodical&gt;&lt;full-title&gt;Contribution of working group I to the sixth assessment report of the intergovernmental panel on climate change&lt;/full-title&gt;&lt;/periodical&gt;&lt;pages&gt;2391&lt;/pages&gt;&lt;volume&gt;2&lt;/volume&gt;&lt;number&gt;1&lt;/number&gt;&lt;dates&gt;&lt;year&gt;2021&lt;/year&gt;&lt;/dates&gt;&lt;urls&gt;&lt;/urls&gt;&lt;/record&gt;&lt;/Cite&gt;&lt;/EndNote&gt;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(Masson-Delmotte et al., 2021)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shd w:val="clear" w:color="auto" w:fill="000000" w:themeFill="text1"/>
            <w:noWrap/>
            <w:vAlign w:val="center"/>
          </w:tcPr>
          <w:p w:rsidR="00A01B69" w:rsidRPr="005B0982" w:rsidRDefault="00A01B69" w:rsidP="00F64D68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FFFFFF" w:themeColor="background1"/>
                <w:sz w:val="24"/>
                <w:szCs w:val="24"/>
              </w:rPr>
            </w:pPr>
            <w:r w:rsidRPr="005B0982">
              <w:rPr>
                <w:rFonts w:asciiTheme="majorBidi" w:hAnsiTheme="majorBidi" w:cstheme="majorBidi"/>
                <w:b w:val="0"/>
                <w:bCs w:val="0"/>
                <w:color w:val="FFFFFF" w:themeColor="background1"/>
                <w:sz w:val="24"/>
                <w:szCs w:val="24"/>
              </w:rPr>
              <w:t>Era</w:t>
            </w:r>
          </w:p>
        </w:tc>
        <w:tc>
          <w:tcPr>
            <w:tcW w:w="960" w:type="dxa"/>
            <w:shd w:val="clear" w:color="auto" w:fill="000000" w:themeFill="text1"/>
            <w:noWrap/>
            <w:vAlign w:val="center"/>
          </w:tcPr>
          <w:p w:rsidR="00A01B69" w:rsidRPr="005B0982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FFFFFF" w:themeColor="background1"/>
                <w:sz w:val="24"/>
                <w:szCs w:val="24"/>
              </w:rPr>
            </w:pPr>
            <w:r w:rsidRPr="005B0982">
              <w:rPr>
                <w:rFonts w:asciiTheme="majorBidi" w:hAnsiTheme="majorBidi" w:cstheme="majorBidi"/>
                <w:color w:val="FFFFFF" w:themeColor="background1"/>
                <w:sz w:val="24"/>
                <w:szCs w:val="24"/>
              </w:rPr>
              <w:t>Start (ka)</w:t>
            </w:r>
          </w:p>
        </w:tc>
        <w:tc>
          <w:tcPr>
            <w:tcW w:w="960" w:type="dxa"/>
            <w:shd w:val="clear" w:color="auto" w:fill="000000" w:themeFill="text1"/>
            <w:noWrap/>
            <w:vAlign w:val="center"/>
          </w:tcPr>
          <w:p w:rsidR="00A01B69" w:rsidRPr="005B0982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FFFFFF" w:themeColor="background1"/>
                <w:sz w:val="24"/>
                <w:szCs w:val="24"/>
              </w:rPr>
            </w:pPr>
            <w:r w:rsidRPr="005B0982">
              <w:rPr>
                <w:rFonts w:asciiTheme="majorBidi" w:hAnsiTheme="majorBidi" w:cstheme="majorBidi"/>
                <w:color w:val="FFFFFF" w:themeColor="background1"/>
                <w:sz w:val="24"/>
                <w:szCs w:val="24"/>
              </w:rPr>
              <w:t>End (ka)</w:t>
            </w:r>
          </w:p>
        </w:tc>
        <w:tc>
          <w:tcPr>
            <w:tcW w:w="3544" w:type="dxa"/>
            <w:shd w:val="clear" w:color="auto" w:fill="000000" w:themeFill="text1"/>
          </w:tcPr>
          <w:p w:rsidR="00A01B69" w:rsidRPr="005B0982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FFFFFF" w:themeColor="background1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sz w:val="24"/>
                <w:szCs w:val="24"/>
              </w:rPr>
              <w:t>Reference</w:t>
            </w:r>
          </w:p>
        </w:tc>
      </w:tr>
      <w:tr w:rsidR="00A01B69" w:rsidRPr="005B0982" w:rsidTr="00F64D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Neolithic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&lt;EndNote&gt;&lt;Cite&gt;&lt;Author&gt;Zeder&lt;/Author&gt;&lt;Year&gt;2009&lt;/Year&gt;&lt;RecNum&gt;1344&lt;/RecNum&gt;&lt;DisplayText&gt;(Zeder, 2009)&lt;/DisplayText&gt;&lt;record&gt;&lt;rec-number&gt;1344&lt;/rec-number&gt;&lt;foreign-keys&gt;&lt;key app="EN" db-id="xtearvdtyzzdz0eatz6v92d2dx2rfdwvta0w" timestamp="1754316571"&gt;1344&lt;/key&gt;&lt;/foreign-keys&gt;&lt;ref-type name="Journal Article"&gt;17&lt;/ref-type&gt;&lt;contributors&gt;&lt;authors&gt;&lt;author&gt;Zeder, Melinda A&lt;/author&gt;&lt;/authors&gt;&lt;/contributors&gt;&lt;titles&gt;&lt;title&gt;The Neolithic macro-(r) evolution: macroevolutionary theory and the study of culture change&lt;/title&gt;&lt;secondary-title&gt;Journal of Archaeological research&lt;/secondary-title&gt;&lt;/titles&gt;&lt;periodical&gt;&lt;full-title&gt;Journal of Archaeological research&lt;/full-title&gt;&lt;/periodical&gt;&lt;pages&gt;1-63&lt;/pages&gt;&lt;volume&gt;17&lt;/volume&gt;&lt;number&gt;1&lt;/number&gt;&lt;dates&gt;&lt;year&gt;2009&lt;/year&gt;&lt;/dates&gt;&lt;isbn&gt;1059-0161&lt;/isbn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(Zeder, 2009)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Chalcolithic (Copper Age)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&lt;EndNote&gt;&lt;Cite&gt;&lt;Author&gt;Roberts&lt;/Author&gt;&lt;Year&gt;2014&lt;/Year&gt;&lt;RecNum&gt;1345&lt;/RecNum&gt;&lt;DisplayText&gt;(Roberts and Thornton, 2014)&lt;/DisplayText&gt;&lt;record&gt;&lt;rec-number&gt;1345&lt;/rec-number&gt;&lt;foreign-keys&gt;&lt;key app="EN" db-id="xtearvdtyzzdz0eatz6v92d2dx2rfdwvta0w" timestamp="1754316605"&gt;1345&lt;/key&gt;&lt;/foreign-keys&gt;&lt;ref-type name="Book"&gt;6&lt;/ref-type&gt;&lt;contributors&gt;&lt;authors&gt;&lt;author&gt;Roberts, Benjamin W&lt;/author&gt;&lt;author&gt;Thornton, Christopher P&lt;/author&gt;&lt;/authors&gt;&lt;/contributors&gt;&lt;titles&gt;&lt;title&gt;Archaeometallurgy in global perspective&lt;/title&gt;&lt;/titles&gt;&lt;dates&gt;&lt;year&gt;2014&lt;/year&gt;&lt;/dates&gt;&lt;publisher&gt;Springer&lt;/publisher&gt;&lt;isbn&gt;1493933574&lt;/isbn&gt;&lt;urls&gt;&lt;/urls&gt;&lt;/record&gt;&lt;/Cite&gt;&lt;/EndNote&gt;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(Roberts and Thornton, 2014)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Bronze Age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&lt;EndNote&gt;&lt;Cite&gt;&lt;Author&gt;Kristiansen&lt;/Author&gt;&lt;Year&gt;2005&lt;/Year&gt;&lt;RecNum&gt;1346&lt;/RecNum&gt;&lt;DisplayText&gt;(Kristiansen and Larsson, 2005)&lt;/DisplayText&gt;&lt;record&gt;&lt;rec-number&gt;1346&lt;/rec-number&gt;&lt;foreign-keys&gt;&lt;key app="EN" db-id="xtearvdtyzzdz0eatz6v92d2dx2rfdwvta0w" timestamp="1754316639"&gt;1346&lt;/key&gt;&lt;/foreign-keys&gt;&lt;ref-type name="Book"&gt;6&lt;/ref-type&gt;&lt;contributors&gt;&lt;authors&gt;&lt;author&gt;Kristiansen, Kristian&lt;/author&gt;&lt;author&gt;Larsson, Thomas B&lt;/author&gt;&lt;/authors&gt;&lt;/contributors&gt;&lt;titles&gt;&lt;title&gt;The rise of Bronze Age society: travels, transmissions and transformations&lt;/title&gt;&lt;/titles&gt;&lt;dates&gt;&lt;year&gt;2005&lt;/year&gt;&lt;/dates&gt;&lt;publisher&gt;Cambridge University Press&lt;/publisher&gt;&lt;isbn&gt;0521843634&lt;/isbn&gt;&lt;urls&gt;&lt;/urls&gt;&lt;/record&gt;&lt;/Cite&gt;&lt;/EndNote&gt;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(Kristiansen and Larsson, 2005)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Iron Age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&lt;EndNote&gt;&lt;Cite&gt;&lt;Author&gt;Fagan&lt;/Author&gt;&lt;Year&gt;2005&lt;/Year&gt;&lt;RecNum&gt;1347&lt;/RecNum&gt;&lt;DisplayText&gt;(Fagan, 2005)&lt;/DisplayText&gt;&lt;record&gt;&lt;rec-number&gt;1347&lt;/rec-number&gt;&lt;foreign-keys&gt;&lt;key app="EN" db-id="xtearvdtyzzdz0eatz6v92d2dx2rfdwvta0w" timestamp="1754316667"&gt;1347&lt;/key&gt;&lt;/foreign-keys&gt;&lt;ref-type name="Book"&gt;6&lt;/ref-type&gt;&lt;contributors&gt;&lt;authors&gt;&lt;author&gt;Fagan, Brian M&lt;/author&gt;&lt;/authors&gt;&lt;/contributors&gt;&lt;titles&gt;&lt;title&gt;The long summer: how climate changed civilization&lt;/title&gt;&lt;/titles&gt;&lt;dates&gt;&lt;year&gt;2005&lt;/year&gt;&lt;/dates&gt;&lt;publisher&gt;Basic books&lt;/publisher&gt;&lt;isbn&gt;0465022812&lt;/isbn&gt;&lt;urls&gt;&lt;/urls&gt;&lt;/record&gt;&lt;/Cite&gt;&lt;/EndNote&gt;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(Fagan, 2005)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Classical Antiquity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&lt;EndNote&gt;&lt;Cite&gt;&lt;Author&gt;McCormick&lt;/Author&gt;&lt;Year&gt;2012&lt;/Year&gt;&lt;RecNum&gt;1339&lt;/RecNum&gt;&lt;DisplayText&gt;(McCormick et al., 2012)&lt;/DisplayText&gt;&lt;record&gt;&lt;rec-number&gt;1339&lt;/rec-number&gt;&lt;foreign-keys&gt;&lt;key app="EN" db-id="xtearvdtyzzdz0eatz6v92d2dx2rfdwvta0w" timestamp="1754316195"&gt;1339&lt;/key&gt;&lt;/foreign-keys&gt;&lt;ref-type name="Journal Article"&gt;17&lt;/ref-type&gt;&lt;contributors&gt;&lt;authors&gt;&lt;author&gt;McCormick, Michael&lt;/author&gt;&lt;author&gt;Büntgen, Ulf&lt;/author&gt;&lt;author&gt;Cane, Mark A&lt;/author&gt;&lt;author&gt;Cook, Edward R&lt;/author&gt;&lt;author&gt;Harper, Kyle&lt;/author&gt;&lt;author&gt;Huybers, Peter&lt;/author&gt;&lt;author&gt;Litt, Thomas&lt;/author&gt;&lt;author&gt;Manning, Sturt W&lt;/author&gt;&lt;author&gt;Mayewski, Paul Andrew&lt;/author&gt;&lt;author&gt;More, Alexander FM&lt;/author&gt;&lt;/authors&gt;&lt;/contributors&gt;&lt;titles&gt;&lt;title&gt;Climate change during and after the Roman Empire: reconstructing the past from scientific and historical evidence&lt;/title&gt;&lt;secondary-title&gt;Journal of Interdisciplinary History&lt;/secondary-title&gt;&lt;/titles&gt;&lt;periodical&gt;&lt;full-title&gt;Journal of Interdisciplinary History&lt;/full-title&gt;&lt;/periodical&gt;&lt;pages&gt;169-220&lt;/pages&gt;&lt;volume&gt;43&lt;/volume&gt;&lt;number&gt;2&lt;/number&gt;&lt;dates&gt;&lt;year&gt;2012&lt;/year&gt;&lt;/dates&gt;&lt;isbn&gt;0022-1953&lt;/isbn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(McCormick et al., 2012)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shd w:val="clear" w:color="auto" w:fill="000000" w:themeFill="text1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FFFFFF" w:themeColor="background1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FFFFFF" w:themeColor="background1"/>
                <w:sz w:val="24"/>
                <w:szCs w:val="24"/>
              </w:rPr>
              <w:t>Site</w:t>
            </w:r>
          </w:p>
        </w:tc>
        <w:tc>
          <w:tcPr>
            <w:tcW w:w="960" w:type="dxa"/>
            <w:shd w:val="clear" w:color="auto" w:fill="000000" w:themeFill="text1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FFFFFF" w:themeColor="background1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FFFFFF" w:themeColor="background1"/>
                <w:sz w:val="24"/>
                <w:szCs w:val="24"/>
              </w:rPr>
              <w:t>Start (ka)</w:t>
            </w:r>
          </w:p>
        </w:tc>
        <w:tc>
          <w:tcPr>
            <w:tcW w:w="960" w:type="dxa"/>
            <w:shd w:val="clear" w:color="auto" w:fill="000000" w:themeFill="text1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FFFFFF" w:themeColor="background1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FFFFFF" w:themeColor="background1"/>
                <w:sz w:val="24"/>
                <w:szCs w:val="24"/>
              </w:rPr>
              <w:t>End (ka)</w:t>
            </w:r>
          </w:p>
        </w:tc>
        <w:tc>
          <w:tcPr>
            <w:tcW w:w="3544" w:type="dxa"/>
            <w:shd w:val="clear" w:color="auto" w:fill="000000" w:themeFill="text1"/>
          </w:tcPr>
          <w:p w:rsidR="00A01B69" w:rsidRPr="005B0982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FFFFFF" w:themeColor="background1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sz w:val="24"/>
                <w:szCs w:val="24"/>
              </w:rPr>
              <w:t>Reference</w:t>
            </w:r>
          </w:p>
        </w:tc>
      </w:tr>
      <w:tr w:rsidR="00A01B69" w:rsidRPr="005B0982" w:rsidTr="00F64D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Sialk (Kashan)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&lt;EndNote&gt;&lt;Cite&gt;&lt;Author&gt;Ghirshman&lt;/Author&gt;&lt;Year&gt;1938&lt;/Year&gt;&lt;RecNum&gt;1140&lt;/RecNum&gt;&lt;DisplayText&gt;(Ghirshman, 1938)&lt;/DisplayText&gt;&lt;record&gt;&lt;rec-number&gt;1140&lt;/rec-number&gt;&lt;foreign-keys&gt;&lt;key app="EN" db-id="xtearvdtyzzdz0eatz6v92d2dx2rfdwvta0w" timestamp="1744725282"&gt;1140&lt;/key&gt;&lt;/foreign-keys&gt;&lt;ref-type name="Book"&gt;6&lt;/ref-type&gt;&lt;contributors&gt;&lt;authors&gt;&lt;author&gt;Ghirshman, Roman&lt;/author&gt;&lt;/authors&gt;&lt;/contributors&gt;&lt;titles&gt;&lt;title&gt;Fouilles de Sialk près de Kashan 1933, 1934, 1937&lt;/title&gt;&lt;secondary-title&gt;[Paris] Musée [national] du Louvre. Département des antiquités orientales [et de la céramique antique] Série archéologique, t. IV&lt;/secondary-title&gt;&lt;/titles&gt;&lt;pages&gt;2 v.&lt;/pages&gt;&lt;number&gt;2 v.&lt;/number&gt;&lt;keywords&gt;&lt;keyword&gt;Excavations (Archaeology) / Iran. / http://id.loc.gov/authorities/subjects/sh85046145&lt;/keyword&gt;&lt;keyword&gt;Craniology / Iran.&lt;/keyword&gt;&lt;keyword&gt;Tombs / Iran. / http://id.loc.gov/authorities/subjects/sh2019102519&lt;/keyword&gt;&lt;keyword&gt;Pottery, Ancient. / http://id.loc.gov/authorities/subjects/sh85105764&lt;/keyword&gt;&lt;keyword&gt;Pottery / Iran.&lt;/keyword&gt;&lt;keyword&gt;Iran / Antiquities. / http://id.loc.gov/authorities/subjects/sh85067883&lt;/keyword&gt;&lt;/keywords&gt;&lt;dates&gt;&lt;year&gt;1938&lt;/year&gt;&lt;/dates&gt;&lt;pub-location&gt;[Paris]&lt;/pub-location&gt;&lt;publisher&gt;P. Geuthner&lt;/publisher&gt;&lt;urls&gt;&lt;related-urls&gt;&lt;url&gt;https://catalog.hathitrust.org/Record/000876611&lt;/url&gt;&lt;url&gt;https://hdl.handle.net/2027/mdp.39015014719242 (v.1)&lt;/url&gt;&lt;url&gt;https://hdl.handle.net/2027/mdp.39015014742277 (v.1)&lt;/url&gt;&lt;url&gt;https://hdl.handle.net/2027/mdp.39015014719127 (v.2)&lt;/url&gt;&lt;/related-urls&gt;&lt;/urls&gt;&lt;/record&gt;&lt;/Cite&gt;&lt;/EndNote&gt;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(Ghirshman, 1938)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Shahr-e Sukhteh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&lt;EndNote&gt;&lt;Cite&gt;&lt;Author&gt;Rashidvash&lt;/Author&gt;&lt;Year&gt;2012&lt;/Year&gt;&lt;RecNum&gt;1349&lt;/RecNum&gt;&lt;DisplayText&gt;(Rashidvash, 2012)&lt;/DisplayText&gt;&lt;record&gt;&lt;rec-number&gt;1349&lt;/rec-number&gt;&lt;foreign-keys&gt;&lt;key app="EN" db-id="xtearvdtyzzdz0eatz6v92d2dx2rfdwvta0w" timestamp="1754316847"&gt;1349&lt;/key&gt;&lt;/foreign-keys&gt;&lt;ref-type name="Journal Article"&gt;17&lt;/ref-type&gt;&lt;contributors&gt;&lt;authors&gt;&lt;author&gt;Rashidvash, Vahid&lt;/author&gt;&lt;/authors&gt;&lt;/contributors&gt;&lt;titles&gt;&lt;title&gt;Iranian people and the race of people settled in the Iranian plateau&lt;/title&gt;&lt;secondary-title&gt;Research Journal of Humanities and Social Sciences&lt;/secondary-title&gt;&lt;/titles&gt;&lt;periodical&gt;&lt;full-title&gt;Research Journal of Humanities and Social Sciences&lt;/full-title&gt;&lt;/periodical&gt;&lt;pages&gt;426-435&lt;/pages&gt;&lt;volume&gt;3&lt;/volume&gt;&lt;number&gt;4&lt;/number&gt;&lt;dates&gt;&lt;year&gt;2012&lt;/year&gt;&lt;/dates&gt;&lt;isbn&gt;0975-6795&lt;/isbn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(Rashidvash, 2012)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Tepe Hesar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&lt;EndNote&gt;&lt;Cite&gt;&lt;Author&gt;Dyson&lt;/Author&gt;&lt;Year&gt;1989&lt;/Year&gt;&lt;RecNum&gt;904&lt;/RecNum&gt;&lt;DisplayText&gt;(Dyson and Howard, 1989)&lt;/DisplayText&gt;&lt;record&gt;&lt;rec-number&gt;904&lt;/rec-number&gt;&lt;foreign-keys&gt;&lt;key app="EN" db-id="xtearvdtyzzdz0eatz6v92d2dx2rfdwvta0w" timestamp="1739473504"&gt;904&lt;/key&gt;&lt;/foreign-keys&gt;&lt;ref-type name="Book"&gt;6&lt;/ref-type&gt;&lt;contributors&gt;&lt;authors&gt;&lt;author&gt;Dyson, R.H.&lt;/author&gt;&lt;author&gt;Howard, S.M.&lt;/author&gt;&lt;/authors&gt;&lt;/contributors&gt;&lt;titles&gt;&lt;title&gt;Tappeh Hesār: Reports of the Restudy Project, 1976&lt;/title&gt;&lt;/titles&gt;&lt;dates&gt;&lt;year&gt;1989&lt;/year&gt;&lt;/dates&gt;&lt;publisher&gt;Casa editrice Le Lettere&lt;/publisher&gt;&lt;urls&gt;&lt;related-urls&gt;&lt;url&gt;https://books.google.com/books?id=NsQ-AQAAIAAJ&lt;/url&gt;&lt;/related-urls&gt;&lt;/urls&gt;&lt;/record&gt;&lt;/Cite&gt;&lt;/EndNote&gt;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(Dyson and Howard, 1989)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shd w:val="clear" w:color="auto" w:fill="000000" w:themeFill="text1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FFFFFF" w:themeColor="background1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FFFFFF" w:themeColor="background1"/>
                <w:sz w:val="24"/>
                <w:szCs w:val="24"/>
              </w:rPr>
              <w:t>Dynasty</w:t>
            </w:r>
          </w:p>
        </w:tc>
        <w:tc>
          <w:tcPr>
            <w:tcW w:w="960" w:type="dxa"/>
            <w:shd w:val="clear" w:color="auto" w:fill="000000" w:themeFill="text1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FFFFFF" w:themeColor="background1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FFFFFF" w:themeColor="background1"/>
                <w:sz w:val="24"/>
                <w:szCs w:val="24"/>
              </w:rPr>
              <w:t>Start (ka)</w:t>
            </w:r>
          </w:p>
        </w:tc>
        <w:tc>
          <w:tcPr>
            <w:tcW w:w="960" w:type="dxa"/>
            <w:shd w:val="clear" w:color="auto" w:fill="000000" w:themeFill="text1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FFFFFF" w:themeColor="background1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FFFFFF" w:themeColor="background1"/>
                <w:sz w:val="24"/>
                <w:szCs w:val="24"/>
              </w:rPr>
              <w:t>End (ka)</w:t>
            </w:r>
          </w:p>
        </w:tc>
        <w:tc>
          <w:tcPr>
            <w:tcW w:w="3544" w:type="dxa"/>
            <w:shd w:val="clear" w:color="auto" w:fill="000000" w:themeFill="text1"/>
          </w:tcPr>
          <w:p w:rsidR="00A01B69" w:rsidRPr="005B0982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FFFFFF" w:themeColor="background1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sz w:val="24"/>
                <w:szCs w:val="24"/>
              </w:rPr>
              <w:t>Reference</w:t>
            </w:r>
          </w:p>
        </w:tc>
      </w:tr>
      <w:tr w:rsidR="00A01B69" w:rsidRPr="005B0982" w:rsidTr="00F64D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Elamite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&lt;EndNote&gt;&lt;Cite&gt;&lt;Author&gt;Potts&lt;/Author&gt;&lt;Year&gt;2016&lt;/Year&gt;&lt;RecNum&gt;1350&lt;/RecNum&gt;&lt;DisplayText&gt;(Potts, 2016)&lt;/DisplayText&gt;&lt;record&gt;&lt;rec-number&gt;1350&lt;/rec-number&gt;&lt;foreign-keys&gt;&lt;key app="EN" db-id="xtearvdtyzzdz0eatz6v92d2dx2rfdwvta0w" timestamp="1754316985"&gt;1350&lt;/key&gt;&lt;/foreign-keys&gt;&lt;ref-type name="Book"&gt;6&lt;/ref-type&gt;&lt;contributors&gt;&lt;authors&gt;&lt;author&gt;Potts, Daniel T&lt;/author&gt;&lt;/authors&gt;&lt;/contributors&gt;&lt;titles&gt;&lt;title&gt;The archaeology of Elam: formation and transformation of an ancient Iranian state&lt;/title&gt;&lt;/titles&gt;&lt;dates&gt;&lt;year&gt;2016&lt;/year&gt;&lt;/dates&gt;&lt;publisher&gt;Cambridge University Press&lt;/publisher&gt;&lt;isbn&gt;1107094690&lt;/isbn&gt;&lt;urls&gt;&lt;/urls&gt;&lt;/record&gt;&lt;/Cite&gt;&lt;/EndNote&gt;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(Potts, 2016)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Median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2.55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&lt;EndNote&gt;&lt;Cite&gt;&lt;Author&gt;Gropp&lt;/Author&gt;&lt;Year&gt;1998&lt;/Year&gt;&lt;RecNum&gt;1351&lt;/RecNum&gt;&lt;DisplayText&gt;(Gropp, 1998)&lt;/DisplayText&gt;&lt;record&gt;&lt;rec-number&gt;1351&lt;/rec-number&gt;&lt;foreign-keys&gt;&lt;key app="EN" db-id="xtearvdtyzzdz0eatz6v92d2dx2rfdwvta0w" timestamp="1754317017"&gt;1351&lt;/key&gt;&lt;/foreign-keys&gt;&lt;ref-type name="Journal Article"&gt;17&lt;/ref-type&gt;&lt;contributors&gt;&lt;authors&gt;&lt;author&gt;Gropp, Gerd&lt;/author&gt;&lt;/authors&gt;&lt;/contributors&gt;&lt;titles&gt;&lt;title&gt;The development of Near Eastern culture during the Persian Empire&lt;/title&gt;&lt;secondary-title&gt;Sydney Studies in Religion&lt;/secondary-title&gt;&lt;/titles&gt;&lt;periodical&gt;&lt;full-title&gt;Sydney Studies in Religion&lt;/full-title&gt;&lt;/periodical&gt;&lt;dates&gt;&lt;year&gt;1998&lt;/year&gt;&lt;/dates&gt;&lt;isbn&gt;1444-5158&lt;/isbn&gt;&lt;urls&gt;&lt;/urls&gt;&lt;/record&gt;&lt;/Cite&gt;&lt;/EndNote&gt;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(Gropp, 1998)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Achaemenid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2.55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&lt;EndNote&gt;&lt;Cite&gt;&lt;Author&gt;Briant&lt;/Author&gt;&lt;Year&gt;2002&lt;/Year&gt;&lt;RecNum&gt;1352&lt;/RecNum&gt;&lt;DisplayText&gt;(Briant, 2002)&lt;/DisplayText&gt;&lt;record&gt;&lt;rec-number&gt;1352&lt;/rec-number&gt;&lt;foreign-keys&gt;&lt;key app="EN" db-id="xtearvdtyzzdz0eatz6v92d2dx2rfdwvta0w" timestamp="1754317061"&gt;1352&lt;/key&gt;&lt;/foreign-keys&gt;&lt;ref-type name="Book"&gt;6&lt;/ref-type&gt;&lt;contributors&gt;&lt;authors&gt;&lt;author&gt;Briant, Pierre&lt;/author&gt;&lt;/authors&gt;&lt;/contributors&gt;&lt;titles&gt;&lt;title&gt;From Cyrus to Alexander: a history of the Persian Empire&lt;/title&gt;&lt;/titles&gt;&lt;dates&gt;&lt;year&gt;2002&lt;/year&gt;&lt;/dates&gt;&lt;publisher&gt;Penn State Press&lt;/publisher&gt;&lt;isbn&gt;1575065746&lt;/isbn&gt;&lt;urls&gt;&lt;/urls&gt;&lt;/record&gt;&lt;/Cite&gt;&lt;/EndNote&gt;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(Briant, 2002)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Seleucid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2.05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&lt;EndNote&gt;&lt;Cite&gt;&lt;Author&gt;Grainger&lt;/Author&gt;&lt;Year&gt;2014&lt;/Year&gt;&lt;RecNum&gt;1353&lt;/RecNum&gt;&lt;DisplayText&gt;(Grainger, 2014)&lt;/DisplayText&gt;&lt;record&gt;&lt;rec-number&gt;1353&lt;/rec-number&gt;&lt;foreign-keys&gt;&lt;key app="EN" db-id="xtearvdtyzzdz0eatz6v92d2dx2rfdwvta0w" timestamp="1754317089"&gt;1353&lt;/key&gt;&lt;/foreign-keys&gt;&lt;ref-type name="Book"&gt;6&lt;/ref-type&gt;&lt;contributors&gt;&lt;authors&gt;&lt;author&gt;Grainger, John D&lt;/author&gt;&lt;/authors&gt;&lt;/contributors&gt;&lt;titles&gt;&lt;title&gt;Seleukos Nikator (Routledge Revivals): Constructing a Hellenistic Kingdom&lt;/title&gt;&lt;/titles&gt;&lt;dates&gt;&lt;year&gt;2014&lt;/year&gt;&lt;/dates&gt;&lt;publisher&gt;Routledge&lt;/publisher&gt;&lt;isbn&gt;1315813254&lt;/isbn&gt;&lt;urls&gt;&lt;/urls&gt;&lt;/record&gt;&lt;/Cite&gt;&lt;/EndNote&gt;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(Grainger, 2014)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Parthian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2.05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&lt;EndNote&gt;&lt;Cite&gt;&lt;Author&gt;Bivar&lt;/Author&gt;&lt;Year&gt;1983&lt;/Year&gt;&lt;RecNum&gt;1354&lt;/RecNum&gt;&lt;DisplayText&gt;(Bivar, 1983)&lt;/DisplayText&gt;&lt;record&gt;&lt;rec-number&gt;1354&lt;/rec-number&gt;&lt;foreign-keys&gt;&lt;key app="EN" db-id="xtearvdtyzzdz0eatz6v92d2dx2rfdwvta0w" timestamp="1754317114"&gt;1354&lt;/key&gt;&lt;/foreign-keys&gt;&lt;ref-type name="Journal Article"&gt;17&lt;/ref-type&gt;&lt;contributors&gt;&lt;authors&gt;&lt;author&gt;Bivar, Adrian David Hugh&lt;/author&gt;&lt;/authors&gt;&lt;/contributors&gt;&lt;titles&gt;&lt;title&gt;The political history of Iran under the Arsacids&lt;/title&gt;&lt;secondary-title&gt;Cambridge History of Iran&lt;/secondary-title&gt;&lt;/titles&gt;&lt;periodical&gt;&lt;full-title&gt;Cambridge History of Iran&lt;/full-title&gt;&lt;/periodical&gt;&lt;pages&gt;21-99&lt;/pages&gt;&lt;volume&gt;3&lt;/volume&gt;&lt;number&gt;1&lt;/number&gt;&lt;dates&gt;&lt;year&gt;1983&lt;/year&gt;&lt;/dates&gt;&lt;urls&gt;&lt;/urls&gt;&lt;/record&gt;&lt;/Cite&gt;&lt;/EndNote&gt;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(Bivar, 1983)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Sassanid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1.35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&lt;EndNote&gt;&lt;Cite&gt;&lt;Author&gt;Daryaee&lt;/Author&gt;&lt;Year&gt;2023&lt;/Year&gt;&lt;RecNum&gt;1355&lt;/RecNum&gt;&lt;DisplayText&gt;(Daryaee, 2023)&lt;/DisplayText&gt;&lt;record&gt;&lt;rec-number&gt;1355&lt;/rec-number&gt;&lt;foreign-keys&gt;&lt;key app="EN" db-id="xtearvdtyzzdz0eatz6v92d2dx2rfdwvta0w" timestamp="1754317151"&gt;1355&lt;/key&gt;&lt;/foreign-keys&gt;&lt;ref-type name="Journal Article"&gt;17&lt;/ref-type&gt;&lt;contributors&gt;&lt;authors&gt;&lt;author&gt;Daryaee, Touraj&lt;/author&gt;&lt;/authors&gt;&lt;/contributors&gt;&lt;titles&gt;&lt;title&gt;Sasanian Persia&lt;/title&gt;&lt;/titles&gt;&lt;dates&gt;&lt;year&gt;2023&lt;/year&gt;&lt;/dates&gt;&lt;urls&gt;&lt;/urls&gt;&lt;/record&gt;&lt;/Cite&gt;&lt;/EndNote&gt;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(Daryaee, 2023)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Islamic Dynasties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1.35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&lt;EndNote&gt;&lt;Cite&gt;&lt;Author&gt;Kennedy&lt;/Author&gt;&lt;Year&gt;2022&lt;/Year&gt;&lt;RecNum&gt;1356&lt;/RecNum&gt;&lt;DisplayText&gt;(Kennedy, 2022)&lt;/DisplayText&gt;&lt;record&gt;&lt;rec-number&gt;1356&lt;/rec-number&gt;&lt;foreign-keys&gt;&lt;key app="EN" db-id="xtearvdtyzzdz0eatz6v92d2dx2rfdwvta0w" timestamp="1754317174"&gt;1356&lt;/key&gt;&lt;/foreign-keys&gt;&lt;ref-type name="Book"&gt;6&lt;/ref-type&gt;&lt;contributors&gt;&lt;authors&gt;&lt;author&gt;Kennedy, Hugh&lt;/author&gt;&lt;/authors&gt;&lt;/contributors&gt;&lt;titles&gt;&lt;title&gt;The Prophet and the age of the Caliphates: the Islamic Near East from the sixth to the eleventh century&lt;/title&gt;&lt;/titles&gt;&lt;dates&gt;&lt;year&gt;2022&lt;/year&gt;&lt;/dates&gt;&lt;publisher&gt;Routledge&lt;/publisher&gt;&lt;isbn&gt;0429348126&lt;/isbn&gt;&lt;urls&gt;&lt;/urls&gt;&lt;/record&gt;&lt;/Cite&gt;&lt;/EndNote&gt;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(Kennedy, 2022)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  <w:tr w:rsidR="00A01B69" w:rsidRPr="005B0982" w:rsidTr="00F64D68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6" w:type="dxa"/>
            <w:noWrap/>
            <w:hideMark/>
          </w:tcPr>
          <w:p w:rsidR="00A01B69" w:rsidRPr="00966C98" w:rsidRDefault="00A01B69" w:rsidP="00F64D68">
            <w:pPr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b w:val="0"/>
                <w:bCs w:val="0"/>
                <w:color w:val="000000"/>
                <w:sz w:val="24"/>
                <w:szCs w:val="24"/>
              </w:rPr>
              <w:t>Modern Iran (Pahlavi–Now)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960" w:type="dxa"/>
            <w:noWrap/>
            <w:hideMark/>
          </w:tcPr>
          <w:p w:rsidR="00A01B69" w:rsidRPr="00966C98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966C9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544" w:type="dxa"/>
          </w:tcPr>
          <w:p w:rsidR="00A01B69" w:rsidRPr="005B0982" w:rsidRDefault="00A01B69" w:rsidP="00F64D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begin"/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instrText xml:space="preserve"> ADDIN EN.CITE &lt;EndNote&gt;&lt;Cite&gt;&lt;Author&gt;Axworthy&lt;/Author&gt;&lt;Year&gt;2008&lt;/Year&gt;&lt;RecNum&gt;1357&lt;/RecNum&gt;&lt;DisplayText&gt;(Axworthy, 2008)&lt;/DisplayText&gt;&lt;record&gt;&lt;rec-number&gt;1357&lt;/rec-number&gt;&lt;foreign-keys&gt;&lt;key app="EN" db-id="xtearvdtyzzdz0eatz6v92d2dx2rfdwvta0w" timestamp="1754317225"&gt;1357&lt;/key&gt;&lt;/foreign-keys&gt;&lt;ref-type name="Book"&gt;6&lt;/ref-type&gt;&lt;contributors&gt;&lt;authors&gt;&lt;author&gt;Axworthy, Michael&lt;/author&gt;&lt;/authors&gt;&lt;/contributors&gt;&lt;titles&gt;&lt;title&gt;Iran: Empire of the mind: A history from Zoroaster to the present day&lt;/title&gt;&lt;/titles&gt;&lt;dates&gt;&lt;year&gt;2008&lt;/year&gt;&lt;/dates&gt;&lt;publisher&gt;Penguin UK&lt;/publisher&gt;&lt;isbn&gt;0141903414&lt;/isbn&gt;&lt;urls&gt;&lt;/urls&gt;&lt;/record&gt;&lt;/Cite&gt;&lt;/EndNote&gt;</w:instrTex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separate"/>
            </w:r>
            <w:r w:rsidRPr="005B0982">
              <w:rPr>
                <w:rFonts w:asciiTheme="majorBidi" w:eastAsia="Times New Roman" w:hAnsiTheme="majorBidi" w:cstheme="majorBidi"/>
                <w:noProof/>
                <w:color w:val="000000"/>
                <w:sz w:val="24"/>
                <w:szCs w:val="24"/>
              </w:rPr>
              <w:t>(Axworthy, 2008)</w:t>
            </w:r>
            <w:r w:rsidRPr="005B098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fldChar w:fldCharType="end"/>
            </w:r>
          </w:p>
        </w:tc>
      </w:tr>
    </w:tbl>
    <w:p w:rsidR="00A01B69" w:rsidRPr="005B0982" w:rsidRDefault="00A01B69" w:rsidP="00A01B69">
      <w:pPr>
        <w:pStyle w:val="EndNoteBibliography"/>
        <w:spacing w:line="480" w:lineRule="auto"/>
        <w:rPr>
          <w:rFonts w:asciiTheme="majorBidi" w:hAnsiTheme="majorBidi" w:cstheme="majorBidi"/>
          <w:sz w:val="24"/>
          <w:szCs w:val="24"/>
        </w:rPr>
      </w:pPr>
    </w:p>
    <w:p w:rsidR="00A01B69" w:rsidRDefault="00A01B69">
      <w:bookmarkStart w:id="0" w:name="_GoBack"/>
      <w:bookmarkEnd w:id="0"/>
    </w:p>
    <w:p w:rsidR="00A01B69" w:rsidRDefault="00A01B69"/>
    <w:p w:rsidR="00A01B69" w:rsidRPr="00A01B69" w:rsidRDefault="00A01B69" w:rsidP="00A01B69">
      <w:pPr>
        <w:pStyle w:val="EndNoteBibliography"/>
        <w:spacing w:after="0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A01B69">
        <w:t>Axworthy, M., 2008. Iran: Empire of the mind: A history from Zoroaster to the present day. Penguin UK.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Bivar, A.D.H., 1983. The political history of Iran under the Arsacids. Cambridge History of Iran, 3(1): 21-99.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Briant, P., 2002. From Cyrus to Alexander: a history of the Persian Empire. Penn State Press.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Claussen, M., Kubatzki, C., Brovkin, V., Ganopolski, A., Hoelzmann, P. and Pachur, H.J., 1999. Simulation of an abrupt change in Saharan vegetation in the mid‐Holocene. Geophysical research letters, 26(14): 2037-2040.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Daryaee, T., 2023. Sasanian Persia.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Dyson, R.H. and Howard, S.M., 1989. Tappeh Hesār: Reports of the Restudy Project, 1976. Casa editrice Le Lettere.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Fagan, B.M., 2005. The long summer: how climate changed civilization. Basic books.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Geyh, M.A., Grosjean, M., Núnez, L. and Schotterer, U., 1999. Radiocarbon Reservoir Effect and the Timing of the Late-Glacial/Early Holocene Humid Phase in the Atacama Desert (Northern Chile). Quaternary Research, 52: 143-153.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Ghirshman, R., 1938. Fouilles de Sialk près de Kashan 1933, 1934, 1937. [Paris] Musée [national] du Louvre. Département des antiquités orientales [et de la céramique antique] Série archéologique, t. IV. P. Geuthner, [Paris], 2 v. pp.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Grainger, J.D., 2014. Seleukos Nikator (Routledge Revivals): Constructing a Hellenistic Kingdom. Routledge.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Gropp, G., 1998. The development of Near Eastern culture during the Persian Empire. Sydney Studies in Religion.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Grove, J.M., 2001. The initiation of the" Little Ice Age" in regions round the North Atlantic. Climatic change, 48(1): 53-82.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Helama, S., Jones, P.D. and Briffa, K.R., 2017. Dark Ages Cold Period: A literature review and directions for future research. The Holocene, 27(10): 1600-1606.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Kennedy, H., 2022. The Prophet and the age of the Caliphates: the Islamic Near East from the sixth to the eleventh century. Routledge.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Kristiansen, K. and Larsson, T.B., 2005. The rise of Bronze Age society: travels, transmissions and transformations. Cambridge University Press.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Mann, M.E., Zhang, Z., Rutherford, S., Bradley, R.S., Hughes, M.K., Shindell, D., Ammann, C., Faluvegi, G. and Ni, F., 2009. Global signatures and dynamical origins of the Little Ice Age and Medieval Climate Anomaly. science, 326(5957): 1256-1260.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Marchant, R. and Hooghiemstra, H., 2004. Rapid environmental change in African and South American tropics around 4000 years before present: a review. Earth-Science Reviews, 66(3-4): 217-260.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Masson-Delmotte, V., Zhai, P., Pirani, A., Connors, S.L., Péan, C., Berger, S., Caud, N., Chen, Y., Goldfarb, L. and Gomis, M., 2021. Climate change 2021: the physical science basis. Contribution of working group I to the sixth assessment report of the intergovernmental panel on climate change, 2(1): 2391.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McCormick, M., Büntgen, U., Cane, M.A., Cook, E.R., Harper, K., Huybers, P., Litt, T., Manning, S.W., Mayewski, P.A. and More, A.F., 2012. Climate change during and after the Roman Empire: reconstructing the past from scientific and historical evidence. Journal of Interdisciplinary History, 43(2): 169-220.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Potts, D.T., 2016. The archaeology of Elam: formation and transformation of an ancient Iranian state. Cambridge University Press.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Rashidvash, V., 2012. Iranian people and the race of people settled in the Iranian plateau. Research Journal of Humanities and Social Sciences, 3(4): 426-435.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Roberts, B.W. and Thornton, C.P., 2014. Archaeometallurgy in global perspective. Springer.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lastRenderedPageBreak/>
        <w:t>Rohling, E., Mayewski, P., Abu-Zied, R., Casford, J. and Hayes, A., 2002. Holocene atmosphere-ocean interactions: records from Greenland and the Aegean Sea. Climate Dynamics, 18(7): 587-593.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Staubwasser, M., Sirocko, F., Grootes, P.M. and Segl, M., 2003. Climate change at the 4.2 ka BP termination of the Indus valley civilization and Holocene south Asian monsoon variability. Geophysical Research Letters, 30(8).</w:t>
      </w:r>
    </w:p>
    <w:p w:rsidR="00A01B69" w:rsidRPr="00A01B69" w:rsidRDefault="00A01B69" w:rsidP="00A01B69">
      <w:pPr>
        <w:pStyle w:val="EndNoteBibliography"/>
        <w:spacing w:after="0"/>
        <w:ind w:left="720" w:hanging="720"/>
      </w:pPr>
      <w:r w:rsidRPr="00A01B69">
        <w:t>Weiss, H. and Bradley, R.S., 2001. What drives societal collapse? Science, 291(5504): 609-610.</w:t>
      </w:r>
    </w:p>
    <w:p w:rsidR="00A01B69" w:rsidRPr="00A01B69" w:rsidRDefault="00A01B69" w:rsidP="00A01B69">
      <w:pPr>
        <w:pStyle w:val="EndNoteBibliography"/>
        <w:ind w:left="720" w:hanging="720"/>
      </w:pPr>
      <w:r w:rsidRPr="00A01B69">
        <w:t>Zeder, M.A., 2009. The Neolithic macro-(r) evolution: macroevolutionary theory and the study of culture change. Journal of Archaeological research, 17(1): 1-63.</w:t>
      </w:r>
    </w:p>
    <w:p w:rsidR="00357EC8" w:rsidRDefault="00A01B69" w:rsidP="00A01B69">
      <w:r>
        <w:fldChar w:fldCharType="end"/>
      </w:r>
    </w:p>
    <w:sectPr w:rsidR="00357EC8" w:rsidSect="009D07D6">
      <w:footerReference w:type="default" r:id="rId4"/>
      <w:pgSz w:w="11907" w:h="16839" w:code="9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85797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7C4E" w:rsidRDefault="00A01B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C7C4E" w:rsidRDefault="00A01B69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Earth Sci Rev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tearvdtyzzdz0eatz6v92d2dx2rfdwvta0w&quot;&gt;My EndNote&lt;record-ids&gt;&lt;item&gt;904&lt;/item&gt;&lt;item&gt;1140&lt;/item&gt;&lt;item&gt;1333&lt;/item&gt;&lt;item&gt;1334&lt;/item&gt;&lt;item&gt;1335&lt;/item&gt;&lt;item&gt;1336&lt;/item&gt;&lt;item&gt;1337&lt;/item&gt;&lt;item&gt;1338&lt;/item&gt;&lt;item&gt;1339&lt;/item&gt;&lt;item&gt;1340&lt;/item&gt;&lt;item&gt;1341&lt;/item&gt;&lt;item&gt;1342&lt;/item&gt;&lt;item&gt;1343&lt;/item&gt;&lt;item&gt;1344&lt;/item&gt;&lt;item&gt;1345&lt;/item&gt;&lt;item&gt;1346&lt;/item&gt;&lt;item&gt;1347&lt;/item&gt;&lt;item&gt;1349&lt;/item&gt;&lt;item&gt;1350&lt;/item&gt;&lt;item&gt;1351&lt;/item&gt;&lt;item&gt;1352&lt;/item&gt;&lt;item&gt;1353&lt;/item&gt;&lt;item&gt;1354&lt;/item&gt;&lt;item&gt;1355&lt;/item&gt;&lt;item&gt;1356&lt;/item&gt;&lt;item&gt;1357&lt;/item&gt;&lt;/record-ids&gt;&lt;/item&gt;&lt;/Libraries&gt;"/>
  </w:docVars>
  <w:rsids>
    <w:rsidRoot w:val="00A01B69"/>
    <w:rsid w:val="000407D4"/>
    <w:rsid w:val="00357EC8"/>
    <w:rsid w:val="00A01B69"/>
    <w:rsid w:val="00D56DA4"/>
    <w:rsid w:val="00DC225D"/>
    <w:rsid w:val="00FF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640CB6-92FF-4672-9E4B-F7D9E25EA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B6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A01B6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01B69"/>
    <w:rPr>
      <w:rFonts w:ascii="Calibri" w:hAnsi="Calibri" w:cs="Calibri"/>
      <w:noProof/>
    </w:rPr>
  </w:style>
  <w:style w:type="paragraph" w:styleId="Footer">
    <w:name w:val="footer"/>
    <w:basedOn w:val="Normal"/>
    <w:link w:val="FooterChar"/>
    <w:uiPriority w:val="99"/>
    <w:unhideWhenUsed/>
    <w:rsid w:val="00A01B69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A01B69"/>
    <w:rPr>
      <w:rFonts w:ascii="Calibri" w:eastAsia="Times New Roman" w:hAnsi="Calibri" w:cs="Arial"/>
    </w:rPr>
  </w:style>
  <w:style w:type="table" w:styleId="GridTable4">
    <w:name w:val="Grid Table 4"/>
    <w:basedOn w:val="TableNormal"/>
    <w:uiPriority w:val="49"/>
    <w:rsid w:val="00A01B6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A01B69"/>
  </w:style>
  <w:style w:type="paragraph" w:customStyle="1" w:styleId="EndNoteBibliographyTitle">
    <w:name w:val="EndNote Bibliography Title"/>
    <w:basedOn w:val="Normal"/>
    <w:link w:val="EndNoteBibliographyTitleChar"/>
    <w:rsid w:val="00A01B69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01B69"/>
    <w:rPr>
      <w:rFonts w:ascii="Calibri" w:hAnsi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4442</Words>
  <Characters>25324</Characters>
  <Application>Microsoft Office Word</Application>
  <DocSecurity>0</DocSecurity>
  <Lines>211</Lines>
  <Paragraphs>59</Paragraphs>
  <ScaleCrop>false</ScaleCrop>
  <Company/>
  <LinksUpToDate>false</LinksUpToDate>
  <CharactersWithSpaces>29707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2025-08-05T02:12:00Z</dcterms:created>
  <dcterms:modified xsi:type="dcterms:W3CDTF">2025-08-05T02:13:00Z</dcterms:modified>
</cp:coreProperties>
</file>